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B3767B">
      <w:pPr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附件一：</w:t>
      </w:r>
    </w:p>
    <w:p w14:paraId="64DB4042">
      <w:pPr>
        <w:jc w:val="center"/>
        <w:rPr>
          <w:rFonts w:ascii="宋体" w:hAnsi="宋体" w:eastAsia="宋体" w:cs="宋体"/>
          <w:b/>
          <w:bCs/>
          <w:szCs w:val="21"/>
        </w:rPr>
      </w:pPr>
    </w:p>
    <w:p w14:paraId="349B22D8">
      <w:pPr>
        <w:jc w:val="center"/>
        <w:rPr>
          <w:rFonts w:hint="default" w:ascii="宋体" w:hAnsi="宋体" w:eastAsia="宋体" w:cs="宋体"/>
          <w:b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2025年外研社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“教学之星”大赛：课程思政案例专项赛</w:t>
      </w:r>
    </w:p>
    <w:p w14:paraId="56B20441">
      <w:pPr>
        <w:jc w:val="center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  <w:lang w:eastAsia="zh-Hans"/>
        </w:rPr>
        <w:t>单元思政</w:t>
      </w:r>
      <w:r>
        <w:rPr>
          <w:rFonts w:hint="eastAsia" w:ascii="宋体" w:hAnsi="宋体" w:eastAsia="宋体" w:cs="宋体"/>
          <w:b/>
          <w:bCs/>
          <w:sz w:val="24"/>
        </w:rPr>
        <w:t>教学设计方案</w:t>
      </w:r>
    </w:p>
    <w:p w14:paraId="2707010D">
      <w:pPr>
        <w:widowControl/>
        <w:spacing w:line="560" w:lineRule="exact"/>
        <w:jc w:val="left"/>
        <w:rPr>
          <w:rFonts w:ascii="宋体" w:hAnsi="宋体" w:eastAsia="宋体" w:cs="宋体"/>
          <w:bCs/>
          <w:szCs w:val="21"/>
          <w:lang w:eastAsia="zh-Hans"/>
        </w:rPr>
      </w:pPr>
      <w:r>
        <w:rPr>
          <w:rFonts w:hint="eastAsia" w:ascii="宋体" w:hAnsi="宋体" w:eastAsia="宋体" w:cs="宋体"/>
          <w:bCs/>
          <w:szCs w:val="21"/>
          <w:lang w:eastAsia="zh-Hans"/>
        </w:rPr>
        <w:t>（注：</w:t>
      </w:r>
      <w:r>
        <w:rPr>
          <w:rFonts w:hint="eastAsia" w:ascii="宋体" w:hAnsi="宋体" w:eastAsia="宋体" w:cs="宋体"/>
          <w:bCs/>
          <w:szCs w:val="21"/>
        </w:rPr>
        <w:t>基本信息及单元思政教学设计方案表格</w:t>
      </w:r>
      <w:r>
        <w:rPr>
          <w:rFonts w:hint="eastAsia" w:ascii="宋体" w:hAnsi="宋体" w:eastAsia="宋体" w:cs="宋体"/>
          <w:bCs/>
          <w:szCs w:val="21"/>
          <w:lang w:eastAsia="zh-Hans"/>
        </w:rPr>
        <w:t>中请勿出现学校</w:t>
      </w:r>
      <w:r>
        <w:rPr>
          <w:rFonts w:hint="eastAsia" w:ascii="宋体" w:hAnsi="宋体" w:eastAsia="宋体" w:cs="宋体"/>
          <w:bCs/>
          <w:szCs w:val="21"/>
        </w:rPr>
        <w:t>名称、教师姓名</w:t>
      </w:r>
      <w:r>
        <w:rPr>
          <w:rFonts w:hint="eastAsia" w:ascii="宋体" w:hAnsi="宋体" w:eastAsia="宋体" w:cs="宋体"/>
          <w:bCs/>
          <w:szCs w:val="21"/>
          <w:lang w:eastAsia="zh-Hans"/>
        </w:rPr>
        <w:t>）</w:t>
      </w:r>
    </w:p>
    <w:p w14:paraId="1EF42F5B">
      <w:pPr>
        <w:widowControl/>
        <w:spacing w:line="560" w:lineRule="exact"/>
        <w:jc w:val="left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一、基本信息</w:t>
      </w:r>
    </w:p>
    <w:tbl>
      <w:tblPr>
        <w:tblStyle w:val="2"/>
        <w:tblW w:w="9214" w:type="dxa"/>
        <w:tblInd w:w="4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7229"/>
      </w:tblGrid>
      <w:tr w14:paraId="5B9A1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985" w:type="dxa"/>
          </w:tcPr>
          <w:p w14:paraId="7F1F282F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课程名称</w:t>
            </w:r>
          </w:p>
        </w:tc>
        <w:tc>
          <w:tcPr>
            <w:tcW w:w="7229" w:type="dxa"/>
          </w:tcPr>
          <w:p w14:paraId="7790277C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42901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985" w:type="dxa"/>
            <w:vAlign w:val="center"/>
          </w:tcPr>
          <w:p w14:paraId="000F42F0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课程类别</w:t>
            </w:r>
          </w:p>
        </w:tc>
        <w:tc>
          <w:tcPr>
            <w:tcW w:w="7229" w:type="dxa"/>
          </w:tcPr>
          <w:p w14:paraId="59AF3AA8">
            <w:pPr>
              <w:adjustRightInd w:val="0"/>
              <w:snapToGrid w:val="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□大学英语通用英语课程  □大学英语专门用途英语课程  </w:t>
            </w:r>
          </w:p>
          <w:p w14:paraId="7805586E">
            <w:pPr>
              <w:adjustRightInd w:val="0"/>
              <w:snapToGrid w:val="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□大学英语跨文化交际课程</w:t>
            </w:r>
          </w:p>
          <w:p w14:paraId="51886D1E">
            <w:pPr>
              <w:adjustRightInd w:val="0"/>
              <w:snapToGrid w:val="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英语专业课程  □翻译专业课程  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商务英语专业课程</w:t>
            </w:r>
          </w:p>
          <w:p w14:paraId="6B646367">
            <w:pPr>
              <w:adjustRightInd w:val="0"/>
              <w:snapToGrid w:val="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□“理解当代中国”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综合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课程  □“理解当代中国”读写课程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</w:rPr>
              <w:t>“理解当代中国”演讲课程  □“理解当代中国”翻译课程</w:t>
            </w:r>
          </w:p>
        </w:tc>
      </w:tr>
      <w:tr w14:paraId="60F9A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985" w:type="dxa"/>
            <w:vAlign w:val="center"/>
          </w:tcPr>
          <w:p w14:paraId="7E128007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教学对象</w:t>
            </w:r>
          </w:p>
        </w:tc>
        <w:tc>
          <w:tcPr>
            <w:tcW w:w="7229" w:type="dxa"/>
          </w:tcPr>
          <w:p w14:paraId="36CEAF7C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73D52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985" w:type="dxa"/>
            <w:vAlign w:val="center"/>
          </w:tcPr>
          <w:p w14:paraId="46352EFC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教学时长</w:t>
            </w:r>
          </w:p>
        </w:tc>
        <w:tc>
          <w:tcPr>
            <w:tcW w:w="7229" w:type="dxa"/>
          </w:tcPr>
          <w:p w14:paraId="0C8159DB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204BF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985" w:type="dxa"/>
            <w:vAlign w:val="center"/>
          </w:tcPr>
          <w:p w14:paraId="3074DBC1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教材名称</w:t>
            </w:r>
          </w:p>
        </w:tc>
        <w:tc>
          <w:tcPr>
            <w:tcW w:w="7229" w:type="dxa"/>
          </w:tcPr>
          <w:p w14:paraId="392BC403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546B0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985" w:type="dxa"/>
            <w:vAlign w:val="center"/>
          </w:tcPr>
          <w:p w14:paraId="3A066C8D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参赛单元</w:t>
            </w:r>
          </w:p>
        </w:tc>
        <w:tc>
          <w:tcPr>
            <w:tcW w:w="7229" w:type="dxa"/>
          </w:tcPr>
          <w:p w14:paraId="434CE07A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第___册 第___单元 （*单本教材仅填写单元信息）</w:t>
            </w:r>
          </w:p>
          <w:p w14:paraId="15DCA333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Hans"/>
              </w:rPr>
              <w:t>单元标题</w:t>
            </w:r>
            <w:r>
              <w:rPr>
                <w:rFonts w:hint="eastAsia" w:ascii="宋体" w:hAnsi="宋体" w:eastAsia="宋体" w:cs="宋体"/>
                <w:szCs w:val="21"/>
              </w:rPr>
              <w:t>_________________________________</w:t>
            </w:r>
          </w:p>
        </w:tc>
      </w:tr>
    </w:tbl>
    <w:p w14:paraId="265E17EB">
      <w:pPr>
        <w:widowControl/>
        <w:spacing w:line="560" w:lineRule="exact"/>
        <w:jc w:val="left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二、单元</w:t>
      </w:r>
      <w:r>
        <w:rPr>
          <w:rFonts w:hint="eastAsia" w:ascii="宋体" w:hAnsi="宋体" w:eastAsia="宋体" w:cs="宋体"/>
          <w:b/>
          <w:szCs w:val="21"/>
          <w:lang w:eastAsia="zh-Hans"/>
        </w:rPr>
        <w:t>思政</w:t>
      </w:r>
      <w:r>
        <w:rPr>
          <w:rFonts w:hint="eastAsia" w:ascii="宋体" w:hAnsi="宋体" w:eastAsia="宋体" w:cs="宋体"/>
          <w:b/>
          <w:szCs w:val="21"/>
        </w:rPr>
        <w:t>教学设计方案</w:t>
      </w:r>
    </w:p>
    <w:tbl>
      <w:tblPr>
        <w:tblStyle w:val="2"/>
        <w:tblW w:w="9206" w:type="dxa"/>
        <w:tblInd w:w="4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6"/>
      </w:tblGrid>
      <w:tr w14:paraId="55808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9" w:hRule="atLeast"/>
        </w:trPr>
        <w:tc>
          <w:tcPr>
            <w:tcW w:w="9206" w:type="dxa"/>
          </w:tcPr>
          <w:p w14:paraId="3D348D3A">
            <w:pPr>
              <w:spacing w:line="360" w:lineRule="auto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>课程描述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（介绍院校特色与教学对象特点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  <w:t>，300字以内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）</w:t>
            </w:r>
          </w:p>
          <w:p w14:paraId="013FAB18">
            <w:pPr>
              <w:spacing w:line="360" w:lineRule="auto"/>
              <w:rPr>
                <w:rFonts w:ascii="宋体" w:hAnsi="宋体" w:eastAsia="宋体" w:cs="宋体"/>
                <w:bCs/>
                <w:szCs w:val="21"/>
              </w:rPr>
            </w:pPr>
          </w:p>
          <w:p w14:paraId="6BE0EF4C">
            <w:pPr>
              <w:spacing w:line="360" w:lineRule="auto"/>
              <w:rPr>
                <w:rFonts w:ascii="宋体" w:hAnsi="宋体" w:eastAsia="宋体" w:cs="宋体"/>
                <w:bCs/>
                <w:szCs w:val="21"/>
              </w:rPr>
            </w:pPr>
          </w:p>
          <w:p w14:paraId="2C2EE553">
            <w:pPr>
              <w:spacing w:line="360" w:lineRule="auto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b/>
                <w:szCs w:val="21"/>
                <w:lang w:eastAsia="zh-Hans"/>
              </w:rPr>
              <w:t>、单元教学内容及思政育人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>目标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  <w:t>（介绍单元内容及教师基于本单元内容挖掘提炼的思政育人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目标）</w:t>
            </w:r>
          </w:p>
          <w:p w14:paraId="313A289F">
            <w:pPr>
              <w:spacing w:line="360" w:lineRule="auto"/>
              <w:rPr>
                <w:rFonts w:ascii="宋体" w:hAnsi="宋体" w:eastAsia="宋体" w:cs="宋体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2.1 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  <w:t>单元教学内容（300字以内）</w:t>
            </w:r>
          </w:p>
          <w:p w14:paraId="17283887">
            <w:pPr>
              <w:spacing w:line="360" w:lineRule="auto"/>
              <w:rPr>
                <w:rFonts w:ascii="宋体" w:hAnsi="宋体" w:eastAsia="宋体" w:cs="宋体"/>
                <w:bCs/>
                <w:szCs w:val="21"/>
                <w:lang w:eastAsia="zh-Hans"/>
              </w:rPr>
            </w:pPr>
          </w:p>
          <w:p w14:paraId="02DC1D09">
            <w:pPr>
              <w:spacing w:line="360" w:lineRule="auto"/>
              <w:rPr>
                <w:rFonts w:ascii="宋体" w:hAnsi="宋体" w:eastAsia="宋体" w:cs="宋体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  <w:t>2.2 思政育人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目标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  <w:t>（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3个以内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  <w:t>）</w:t>
            </w:r>
          </w:p>
          <w:p w14:paraId="3C05A116">
            <w:pPr>
              <w:spacing w:line="360" w:lineRule="auto"/>
              <w:rPr>
                <w:rFonts w:ascii="宋体" w:hAnsi="宋体" w:eastAsia="宋体" w:cs="宋体"/>
                <w:bCs/>
                <w:szCs w:val="21"/>
                <w:lang w:eastAsia="zh-Hans"/>
              </w:rPr>
            </w:pPr>
          </w:p>
          <w:p w14:paraId="0AAA72FA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eastAsia="宋体" w:cs="宋体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单元</w:t>
            </w:r>
            <w:r>
              <w:rPr>
                <w:rFonts w:hint="eastAsia" w:ascii="宋体" w:hAnsi="宋体" w:eastAsia="宋体" w:cs="宋体"/>
                <w:b/>
                <w:szCs w:val="21"/>
                <w:lang w:eastAsia="zh-Hans"/>
              </w:rPr>
              <w:t>思政教学设计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  <w:t>（说明在单元教学与评价全流程中融入课程思政的环节与方式，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展现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  <w:t>如何在教学中实现思政育人与知识、能力培养有机融合，有效使用教材及配套数字资源，引导学生“理解中国、探索世界”，培养学生“讲述中国、沟通世界”）</w:t>
            </w:r>
          </w:p>
          <w:p w14:paraId="7310613E">
            <w:pPr>
              <w:spacing w:before="156" w:beforeLines="50" w:line="360" w:lineRule="auto"/>
              <w:rPr>
                <w:rFonts w:hint="eastAsia" w:ascii="Times New Roman Regular" w:hAnsi="Times New Roman Regular" w:eastAsia="宋体" w:cs="Times New Roman Regular"/>
                <w:bCs/>
                <w:szCs w:val="21"/>
                <w:lang w:eastAsia="zh-Hans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Cs w:val="21"/>
                <w:lang w:eastAsia="zh-Hans"/>
              </w:rPr>
              <w:t xml:space="preserve">3.1 </w:t>
            </w:r>
            <w:r>
              <w:rPr>
                <w:rFonts w:hint="eastAsia" w:ascii="Times New Roman Regular" w:hAnsi="Times New Roman Regular" w:eastAsia="宋体" w:cs="Times New Roman Regular"/>
                <w:bCs/>
                <w:szCs w:val="21"/>
                <w:lang w:eastAsia="zh-Hans"/>
              </w:rPr>
              <w:t>课前</w:t>
            </w:r>
          </w:p>
          <w:p w14:paraId="07E30BF4">
            <w:pPr>
              <w:spacing w:before="156" w:beforeLines="50" w:line="360" w:lineRule="auto"/>
              <w:rPr>
                <w:rFonts w:hint="eastAsia" w:ascii="Times New Roman Regular" w:hAnsi="Times New Roman Regular" w:eastAsia="宋体" w:cs="Times New Roman Regular"/>
                <w:bCs/>
                <w:szCs w:val="21"/>
                <w:lang w:eastAsia="zh-Hans"/>
              </w:rPr>
            </w:pPr>
          </w:p>
          <w:p w14:paraId="04FB80CC">
            <w:pPr>
              <w:spacing w:before="156" w:beforeLines="50" w:line="360" w:lineRule="auto"/>
              <w:rPr>
                <w:rFonts w:hint="eastAsia" w:ascii="Times New Roman Regular" w:hAnsi="Times New Roman Regular" w:eastAsia="宋体" w:cs="Times New Roman Regular"/>
                <w:bCs/>
                <w:szCs w:val="21"/>
                <w:lang w:eastAsia="zh-Hans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Cs w:val="21"/>
                <w:lang w:eastAsia="zh-Hans"/>
              </w:rPr>
              <w:t xml:space="preserve">3.2 </w:t>
            </w:r>
            <w:r>
              <w:rPr>
                <w:rFonts w:hint="eastAsia" w:ascii="Times New Roman Regular" w:hAnsi="Times New Roman Regular" w:eastAsia="宋体" w:cs="Times New Roman Regular"/>
                <w:bCs/>
                <w:szCs w:val="21"/>
                <w:lang w:eastAsia="zh-Hans"/>
              </w:rPr>
              <w:t>课中</w:t>
            </w:r>
          </w:p>
          <w:p w14:paraId="0BBA99EE">
            <w:pPr>
              <w:spacing w:before="156" w:beforeLines="50" w:line="360" w:lineRule="auto"/>
              <w:rPr>
                <w:rFonts w:hint="eastAsia" w:ascii="Times New Roman Regular" w:hAnsi="Times New Roman Regular" w:eastAsia="宋体" w:cs="Times New Roman Regular"/>
                <w:bCs/>
                <w:szCs w:val="21"/>
              </w:rPr>
            </w:pPr>
            <w:r>
              <w:rPr>
                <w:rFonts w:hint="eastAsia" w:ascii="Times New Roman Regular" w:hAnsi="Times New Roman Regular" w:eastAsia="宋体" w:cs="Times New Roman Regular"/>
                <w:bCs/>
                <w:szCs w:val="21"/>
              </w:rPr>
              <w:t>（</w:t>
            </w:r>
            <w:r>
              <w:rPr>
                <w:rFonts w:hint="eastAsia" w:ascii="Times New Roman Regular" w:hAnsi="Times New Roman Regular" w:eastAsia="宋体" w:cs="Times New Roman Regular"/>
                <w:bCs/>
                <w:szCs w:val="21"/>
                <w:lang w:eastAsia="zh-Hans"/>
              </w:rPr>
              <w:t>如：导入、课文讲解、课堂讨论、课上练习环节等</w:t>
            </w:r>
            <w:r>
              <w:rPr>
                <w:rFonts w:hint="eastAsia" w:ascii="Times New Roman Regular" w:hAnsi="Times New Roman Regular" w:eastAsia="宋体" w:cs="Times New Roman Regular"/>
                <w:bCs/>
                <w:szCs w:val="21"/>
              </w:rPr>
              <w:t>）</w:t>
            </w:r>
          </w:p>
          <w:p w14:paraId="2F8D2A5C">
            <w:pPr>
              <w:spacing w:before="156" w:beforeLines="50" w:line="360" w:lineRule="auto"/>
              <w:rPr>
                <w:rFonts w:hint="eastAsia" w:ascii="Times New Roman Regular" w:hAnsi="Times New Roman Regular" w:eastAsia="宋体" w:cs="Times New Roman Regular"/>
                <w:bCs/>
                <w:szCs w:val="21"/>
                <w:lang w:eastAsia="zh-Hans"/>
              </w:rPr>
            </w:pPr>
          </w:p>
          <w:p w14:paraId="58610F42">
            <w:pPr>
              <w:spacing w:before="156" w:beforeLines="50" w:line="360" w:lineRule="auto"/>
              <w:rPr>
                <w:rFonts w:hint="eastAsia" w:ascii="Times New Roman Regular" w:hAnsi="Times New Roman Regular" w:eastAsia="宋体" w:cs="Times New Roman Regular"/>
                <w:bCs/>
                <w:szCs w:val="21"/>
                <w:lang w:eastAsia="zh-Hans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Cs w:val="21"/>
                <w:lang w:eastAsia="zh-Hans"/>
              </w:rPr>
              <w:t xml:space="preserve">3.3 </w:t>
            </w:r>
            <w:r>
              <w:rPr>
                <w:rFonts w:hint="eastAsia" w:ascii="Times New Roman Regular" w:hAnsi="Times New Roman Regular" w:eastAsia="宋体" w:cs="Times New Roman Regular"/>
                <w:bCs/>
                <w:szCs w:val="21"/>
                <w:lang w:eastAsia="zh-Hans"/>
              </w:rPr>
              <w:t>课后</w:t>
            </w:r>
          </w:p>
          <w:p w14:paraId="018366AF">
            <w:pPr>
              <w:spacing w:line="360" w:lineRule="auto"/>
              <w:rPr>
                <w:rFonts w:ascii="宋体" w:hAnsi="宋体" w:eastAsia="宋体" w:cs="宋体"/>
                <w:bCs/>
                <w:szCs w:val="21"/>
                <w:lang w:eastAsia="zh-Hans"/>
              </w:rPr>
            </w:pPr>
          </w:p>
          <w:p w14:paraId="7F5EC02C">
            <w:pPr>
              <w:spacing w:line="360" w:lineRule="auto"/>
              <w:rPr>
                <w:rFonts w:ascii="宋体" w:hAnsi="宋体" w:eastAsia="宋体" w:cs="宋体"/>
                <w:b/>
                <w:szCs w:val="21"/>
                <w:lang w:eastAsia="zh-Hans"/>
              </w:rPr>
            </w:pPr>
          </w:p>
          <w:p w14:paraId="27B63811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eastAsia="宋体" w:cs="宋体"/>
                <w:b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eastAsia="zh-Hans"/>
              </w:rPr>
              <w:t>教学设计反思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  <w:t>（总结本单元课程思政教学设计创新点及改进方向，500字以内）</w:t>
            </w:r>
          </w:p>
          <w:p w14:paraId="6393E656">
            <w:pPr>
              <w:spacing w:line="360" w:lineRule="auto"/>
              <w:rPr>
                <w:rFonts w:ascii="宋体" w:hAnsi="宋体" w:eastAsia="宋体" w:cs="宋体"/>
                <w:b/>
                <w:szCs w:val="21"/>
                <w:lang w:eastAsia="zh-Hans"/>
              </w:rPr>
            </w:pPr>
          </w:p>
          <w:p w14:paraId="18A4B6E7">
            <w:pPr>
              <w:spacing w:line="360" w:lineRule="auto"/>
              <w:rPr>
                <w:rFonts w:ascii="宋体" w:hAnsi="宋体" w:eastAsia="宋体" w:cs="宋体"/>
                <w:b/>
                <w:szCs w:val="21"/>
                <w:lang w:eastAsia="zh-Hans"/>
              </w:rPr>
            </w:pPr>
          </w:p>
          <w:p w14:paraId="67376B00">
            <w:pPr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eastAsia="zh-Hans"/>
              </w:rPr>
              <w:t>补充思政教学资源列表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  <w:t>（如有）（视频、音频及文本资源均不超过3个）</w:t>
            </w:r>
          </w:p>
          <w:tbl>
            <w:tblPr>
              <w:tblStyle w:val="3"/>
              <w:tblpPr w:leftFromText="180" w:rightFromText="180" w:vertAnchor="text" w:horzAnchor="page" w:tblpX="77" w:tblpY="176"/>
              <w:tblOverlap w:val="never"/>
              <w:tblW w:w="8857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21"/>
              <w:gridCol w:w="1376"/>
              <w:gridCol w:w="2407"/>
              <w:gridCol w:w="2753"/>
            </w:tblGrid>
            <w:tr w14:paraId="24A42E4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4" w:hRule="atLeast"/>
              </w:trPr>
              <w:tc>
                <w:tcPr>
                  <w:tcW w:w="2321" w:type="dxa"/>
                </w:tcPr>
                <w:p w14:paraId="1DC91929">
                  <w:pPr>
                    <w:spacing w:line="360" w:lineRule="auto"/>
                    <w:rPr>
                      <w:rFonts w:hint="eastAsia" w:ascii="宋体" w:hAnsi="宋体" w:eastAsia="宋体" w:cs="宋体"/>
                      <w:bCs/>
                      <w:szCs w:val="21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Cs w:val="21"/>
                      <w:lang w:eastAsia="zh-Hans"/>
                    </w:rPr>
                    <w:t>资源</w:t>
                  </w:r>
                  <w:r>
                    <w:rPr>
                      <w:rFonts w:hint="eastAsia" w:ascii="宋体" w:hAnsi="宋体" w:eastAsia="宋体" w:cs="宋体"/>
                      <w:bCs/>
                      <w:szCs w:val="21"/>
                      <w:lang w:val="en-US" w:eastAsia="zh-CN"/>
                    </w:rPr>
                    <w:t>名称</w:t>
                  </w:r>
                </w:p>
              </w:tc>
              <w:tc>
                <w:tcPr>
                  <w:tcW w:w="1376" w:type="dxa"/>
                </w:tcPr>
                <w:p w14:paraId="067BC0D1">
                  <w:pPr>
                    <w:spacing w:line="360" w:lineRule="auto"/>
                    <w:rPr>
                      <w:rFonts w:ascii="宋体" w:hAnsi="宋体" w:eastAsia="宋体" w:cs="宋体"/>
                      <w:bCs/>
                      <w:szCs w:val="21"/>
                      <w:lang w:eastAsia="zh-Hans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Cs w:val="21"/>
                      <w:lang w:eastAsia="zh-Hans"/>
                    </w:rPr>
                    <w:t>来源</w:t>
                  </w:r>
                </w:p>
              </w:tc>
              <w:tc>
                <w:tcPr>
                  <w:tcW w:w="2407" w:type="dxa"/>
                </w:tcPr>
                <w:p w14:paraId="5236D05A">
                  <w:pPr>
                    <w:spacing w:line="360" w:lineRule="auto"/>
                    <w:rPr>
                      <w:rFonts w:ascii="宋体" w:hAnsi="宋体" w:eastAsia="宋体" w:cs="宋体"/>
                      <w:bCs/>
                      <w:szCs w:val="21"/>
                      <w:lang w:eastAsia="zh-Hans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Cs w:val="21"/>
                      <w:lang w:eastAsia="zh-Hans"/>
                    </w:rPr>
                    <w:t>网址（如有）</w:t>
                  </w:r>
                </w:p>
              </w:tc>
              <w:tc>
                <w:tcPr>
                  <w:tcW w:w="2753" w:type="dxa"/>
                </w:tcPr>
                <w:p w14:paraId="6E1F7CDA">
                  <w:pPr>
                    <w:spacing w:line="360" w:lineRule="auto"/>
                    <w:rPr>
                      <w:rFonts w:ascii="宋体" w:hAnsi="宋体" w:eastAsia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Cs w:val="21"/>
                      <w:lang w:eastAsia="zh-Hans"/>
                    </w:rPr>
                    <w:t>内容简述</w:t>
                  </w:r>
                  <w:r>
                    <w:rPr>
                      <w:rFonts w:hint="eastAsia" w:ascii="宋体" w:hAnsi="宋体" w:eastAsia="宋体" w:cs="宋体"/>
                      <w:bCs/>
                      <w:szCs w:val="21"/>
                    </w:rPr>
                    <w:t>（每条100字以内）</w:t>
                  </w:r>
                </w:p>
              </w:tc>
            </w:tr>
            <w:tr w14:paraId="432F63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321" w:type="dxa"/>
                </w:tcPr>
                <w:p w14:paraId="35B26C9B">
                  <w:pPr>
                    <w:spacing w:line="360" w:lineRule="auto"/>
                    <w:rPr>
                      <w:rFonts w:ascii="宋体" w:hAnsi="宋体" w:eastAsia="宋体" w:cs="宋体"/>
                      <w:bCs/>
                      <w:szCs w:val="21"/>
                      <w:lang w:eastAsia="zh-Hans"/>
                    </w:rPr>
                  </w:pPr>
                </w:p>
              </w:tc>
              <w:tc>
                <w:tcPr>
                  <w:tcW w:w="1376" w:type="dxa"/>
                </w:tcPr>
                <w:p w14:paraId="1AC75439">
                  <w:pPr>
                    <w:spacing w:line="360" w:lineRule="auto"/>
                    <w:rPr>
                      <w:rFonts w:ascii="宋体" w:hAnsi="宋体" w:eastAsia="宋体" w:cs="宋体"/>
                      <w:bCs/>
                      <w:szCs w:val="21"/>
                      <w:lang w:eastAsia="zh-Hans"/>
                    </w:rPr>
                  </w:pPr>
                </w:p>
              </w:tc>
              <w:tc>
                <w:tcPr>
                  <w:tcW w:w="2407" w:type="dxa"/>
                </w:tcPr>
                <w:p w14:paraId="105B1E6C">
                  <w:pPr>
                    <w:spacing w:line="360" w:lineRule="auto"/>
                    <w:rPr>
                      <w:rFonts w:ascii="宋体" w:hAnsi="宋体" w:eastAsia="宋体" w:cs="宋体"/>
                      <w:bCs/>
                      <w:szCs w:val="21"/>
                      <w:lang w:eastAsia="zh-Hans"/>
                    </w:rPr>
                  </w:pPr>
                </w:p>
              </w:tc>
              <w:tc>
                <w:tcPr>
                  <w:tcW w:w="2753" w:type="dxa"/>
                </w:tcPr>
                <w:p w14:paraId="74EE91E0">
                  <w:pPr>
                    <w:spacing w:line="360" w:lineRule="auto"/>
                    <w:rPr>
                      <w:rFonts w:ascii="宋体" w:hAnsi="宋体" w:eastAsia="宋体" w:cs="宋体"/>
                      <w:bCs/>
                      <w:szCs w:val="21"/>
                      <w:lang w:eastAsia="zh-Hans"/>
                    </w:rPr>
                  </w:pPr>
                </w:p>
              </w:tc>
            </w:tr>
            <w:tr w14:paraId="767AF61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321" w:type="dxa"/>
                </w:tcPr>
                <w:p w14:paraId="6E49935E">
                  <w:pPr>
                    <w:spacing w:line="360" w:lineRule="auto"/>
                    <w:rPr>
                      <w:rFonts w:ascii="宋体" w:hAnsi="宋体" w:eastAsia="宋体" w:cs="宋体"/>
                      <w:bCs/>
                      <w:szCs w:val="21"/>
                      <w:lang w:eastAsia="zh-Hans"/>
                    </w:rPr>
                  </w:pPr>
                </w:p>
              </w:tc>
              <w:tc>
                <w:tcPr>
                  <w:tcW w:w="1376" w:type="dxa"/>
                </w:tcPr>
                <w:p w14:paraId="42317125">
                  <w:pPr>
                    <w:spacing w:line="360" w:lineRule="auto"/>
                    <w:rPr>
                      <w:rFonts w:ascii="宋体" w:hAnsi="宋体" w:eastAsia="宋体" w:cs="宋体"/>
                      <w:bCs/>
                      <w:szCs w:val="21"/>
                      <w:lang w:eastAsia="zh-Hans"/>
                    </w:rPr>
                  </w:pPr>
                </w:p>
              </w:tc>
              <w:tc>
                <w:tcPr>
                  <w:tcW w:w="2407" w:type="dxa"/>
                </w:tcPr>
                <w:p w14:paraId="69058AEC">
                  <w:pPr>
                    <w:spacing w:line="360" w:lineRule="auto"/>
                    <w:rPr>
                      <w:rFonts w:ascii="宋体" w:hAnsi="宋体" w:eastAsia="宋体" w:cs="宋体"/>
                      <w:bCs/>
                      <w:szCs w:val="21"/>
                      <w:lang w:eastAsia="zh-Hans"/>
                    </w:rPr>
                  </w:pPr>
                </w:p>
              </w:tc>
              <w:tc>
                <w:tcPr>
                  <w:tcW w:w="2753" w:type="dxa"/>
                </w:tcPr>
                <w:p w14:paraId="79F93A54">
                  <w:pPr>
                    <w:spacing w:line="360" w:lineRule="auto"/>
                    <w:rPr>
                      <w:rFonts w:ascii="宋体" w:hAnsi="宋体" w:eastAsia="宋体" w:cs="宋体"/>
                      <w:bCs/>
                      <w:szCs w:val="21"/>
                      <w:lang w:eastAsia="zh-Hans"/>
                    </w:rPr>
                  </w:pPr>
                </w:p>
              </w:tc>
            </w:tr>
          </w:tbl>
          <w:p w14:paraId="715555D5">
            <w:pPr>
              <w:numPr>
                <w:ilvl w:val="-1"/>
                <w:numId w:val="0"/>
              </w:numPr>
              <w:spacing w:line="360" w:lineRule="auto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注：</w:t>
            </w:r>
          </w:p>
          <w:p w14:paraId="3F76B7CC">
            <w:pPr>
              <w:numPr>
                <w:ilvl w:val="-1"/>
                <w:numId w:val="0"/>
              </w:numPr>
              <w:spacing w:line="360" w:lineRule="auto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（1）补充资源不包括教材及配套资源内容、学生成果展示、教师说课或授课录像及教学PPT等；</w:t>
            </w:r>
          </w:p>
          <w:p w14:paraId="3B2201D3">
            <w:pPr>
              <w:numPr>
                <w:ilvl w:val="-1"/>
                <w:numId w:val="0"/>
              </w:numPr>
              <w:spacing w:line="360" w:lineRule="auto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（2）音视频资源须音质、画质清晰，文本资源须在WORD文档中注明来源；</w:t>
            </w:r>
          </w:p>
          <w:p w14:paraId="0DC2D947">
            <w:pPr>
              <w:numPr>
                <w:ilvl w:val="-1"/>
                <w:numId w:val="0"/>
              </w:numPr>
              <w:spacing w:line="360" w:lineRule="auto"/>
              <w:rPr>
                <w:rFonts w:ascii="宋体" w:hAnsi="宋体" w:eastAsia="宋体" w:cs="宋体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（3）补充资源语言须为英语（翻译类等必须使用中文的资源除外）。</w:t>
            </w:r>
          </w:p>
        </w:tc>
      </w:tr>
    </w:tbl>
    <w:p w14:paraId="3F701F66">
      <w:pPr>
        <w:rPr>
          <w:rFonts w:ascii="宋体" w:hAnsi="宋体" w:eastAsia="宋体" w:cs="宋体"/>
          <w:szCs w:val="21"/>
          <w:lang w:eastAsia="zh-Hans"/>
        </w:rPr>
      </w:pPr>
    </w:p>
    <w:p w14:paraId="3FB03EF4">
      <w:pPr>
        <w:rPr>
          <w:rFonts w:ascii="宋体" w:hAnsi="宋体" w:eastAsia="宋体" w:cs="宋体"/>
          <w:szCs w:val="21"/>
          <w:lang w:eastAsia="zh-Hans"/>
        </w:rPr>
      </w:pPr>
    </w:p>
    <w:p w14:paraId="126AC3C3">
      <w:pPr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注：单元思政教学设计方案请使用中文填写，以“教材名称+单元名称”命名（命名示例：《新视野大学英语（第四版）读写教程1》</w:t>
      </w:r>
      <w:r>
        <w:rPr>
          <w:rFonts w:hint="default" w:ascii="Times New Roman" w:hAnsi="Times New Roman" w:eastAsia="宋体" w:cs="Times New Roman"/>
          <w:szCs w:val="21"/>
        </w:rPr>
        <w:t>Unit 1 Fresh Start</w:t>
      </w:r>
      <w:r>
        <w:rPr>
          <w:rFonts w:hint="eastAsia" w:ascii="宋体" w:hAnsi="宋体" w:eastAsia="宋体" w:cs="宋体"/>
          <w:szCs w:val="21"/>
        </w:rPr>
        <w:t>），以</w:t>
      </w:r>
      <w:r>
        <w:rPr>
          <w:rFonts w:hint="default" w:ascii="Times New Roman" w:hAnsi="Times New Roman" w:eastAsia="宋体" w:cs="Times New Roman"/>
          <w:szCs w:val="21"/>
        </w:rPr>
        <w:t>PDF</w:t>
      </w:r>
      <w:r>
        <w:rPr>
          <w:rFonts w:hint="eastAsia" w:ascii="宋体" w:hAnsi="宋体" w:eastAsia="宋体" w:cs="宋体"/>
          <w:szCs w:val="21"/>
        </w:rPr>
        <w:t>格式上传至</w:t>
      </w:r>
      <w:r>
        <w:rPr>
          <w:rFonts w:hint="eastAsia" w:ascii="宋体" w:hAnsi="宋体" w:eastAsia="宋体" w:cs="宋体"/>
          <w:szCs w:val="21"/>
          <w:highlight w:val="none"/>
          <w:lang w:eastAsia="zh-Hans"/>
        </w:rPr>
        <w:t>大赛</w:t>
      </w:r>
      <w:r>
        <w:rPr>
          <w:rFonts w:hint="eastAsia" w:ascii="宋体" w:hAnsi="宋体" w:eastAsia="宋体" w:cs="宋体"/>
          <w:szCs w:val="21"/>
          <w:highlight w:val="none"/>
        </w:rPr>
        <w:t>网站</w:t>
      </w:r>
      <w:r>
        <w:rPr>
          <w:rFonts w:hint="default" w:ascii="Times New Roman" w:hAnsi="Times New Roman" w:eastAsia="宋体" w:cs="Times New Roman"/>
          <w:szCs w:val="21"/>
          <w:highlight w:val="none"/>
          <w:lang w:eastAsia="zh-Hans"/>
        </w:rPr>
        <w:t>heep.fltrp.com/szd</w:t>
      </w:r>
      <w:r>
        <w:rPr>
          <w:rFonts w:hint="default" w:ascii="Times New Roman" w:hAnsi="Times New Roman" w:eastAsia="宋体" w:cs="Times New Roman"/>
          <w:szCs w:val="21"/>
          <w:highlight w:val="none"/>
        </w:rPr>
        <w:t>s</w:t>
      </w:r>
      <w:r>
        <w:rPr>
          <w:rFonts w:hint="eastAsia" w:ascii="宋体" w:hAnsi="宋体" w:eastAsia="宋体" w:cs="宋体"/>
          <w:szCs w:val="21"/>
        </w:rPr>
        <w:t>）。</w:t>
      </w:r>
    </w:p>
    <w:p w14:paraId="2883E892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 New Roman Bold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FABA52"/>
    <w:multiLevelType w:val="singleLevel"/>
    <w:tmpl w:val="3FFABA52"/>
    <w:lvl w:ilvl="0" w:tentative="0">
      <w:start w:val="3"/>
      <w:numFmt w:val="decimal"/>
      <w:suff w:val="nothing"/>
      <w:lvlText w:val="%1、"/>
      <w:lvlJc w:val="left"/>
      <w:rPr>
        <w:rFonts w:hint="default" w:ascii="Times New Roman Bold" w:hAnsi="Times New Roman Bold" w:cs="Times New Roman Bold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NDhkNDFkMzI3NDFhNmUwOWY4YzFkN2FkNTNlZWEifQ=="/>
  </w:docVars>
  <w:rsids>
    <w:rsidRoot w:val="257A05F3"/>
    <w:rsid w:val="112E1DCF"/>
    <w:rsid w:val="1B977372"/>
    <w:rsid w:val="257A05F3"/>
    <w:rsid w:val="269E358C"/>
    <w:rsid w:val="29C87E09"/>
    <w:rsid w:val="2E3A0EE3"/>
    <w:rsid w:val="36536AF2"/>
    <w:rsid w:val="3DAF359D"/>
    <w:rsid w:val="4B986A12"/>
    <w:rsid w:val="50E37349"/>
    <w:rsid w:val="565E4742"/>
    <w:rsid w:val="6BB033ED"/>
    <w:rsid w:val="7F45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762</Words>
  <Characters>855</Characters>
  <Lines>0</Lines>
  <Paragraphs>0</Paragraphs>
  <TotalTime>1</TotalTime>
  <ScaleCrop>false</ScaleCrop>
  <LinksUpToDate>false</LinksUpToDate>
  <CharactersWithSpaces>879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2024-05-30T03:36:00Z</dcterms:created>
  <dc:creator>OUYANG Lu</dc:creator>
  <cp:lastModifiedBy>OUYANG Lu</cp:lastModifiedBy>
  <dcterms:modified xsi:type="dcterms:W3CDTF">2025-06-13T08:36:29Z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2622B0AC304342ABBC108F36F57FD3AC_13</vt:lpwstr>
  </property>
  <property fmtid="{D5CDD505-2E9C-101B-9397-08002B2CF9AE}" pid="4" name="KSOTemplateDocerSaveRecord">
    <vt:lpwstr>eyJoZGlkIjoiZWY4ZjBlMWIyZWI5Zjg0ZWQ3MTVkMTVmYTZjMWI1MmIiLCJ1c2VySWQiOiIzOTMxOTY5NDIifQ==</vt:lpwstr>
  </property>
</Properties>
</file>